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8A3" w:rsidRPr="00E168A3" w:rsidRDefault="00E168A3" w:rsidP="00E168A3">
      <w:pPr>
        <w:shd w:val="clear" w:color="auto" w:fill="FFFFFF"/>
        <w:spacing w:after="100" w:afterAutospacing="1" w:line="240" w:lineRule="auto"/>
        <w:outlineLvl w:val="1"/>
        <w:rPr>
          <w:rFonts w:ascii="Gilroy" w:eastAsia="Times New Roman" w:hAnsi="Gilroy" w:cs="Times New Roman"/>
          <w:b/>
          <w:bCs/>
          <w:color w:val="202325"/>
          <w:sz w:val="36"/>
          <w:szCs w:val="36"/>
          <w:lang w:eastAsia="en-IN"/>
        </w:rPr>
      </w:pPr>
      <w:r w:rsidRPr="00E168A3">
        <w:rPr>
          <w:rFonts w:ascii="Gilroy" w:eastAsia="Times New Roman" w:hAnsi="Gilroy" w:cs="Times New Roman"/>
          <w:b/>
          <w:bCs/>
          <w:color w:val="202325"/>
          <w:sz w:val="36"/>
          <w:szCs w:val="36"/>
          <w:lang w:eastAsia="en-IN"/>
        </w:rPr>
        <w:t>Facility for Basic Services Demat Account (BSDA)</w:t>
      </w:r>
    </w:p>
    <w:p w:rsidR="00E168A3" w:rsidRPr="00E168A3" w:rsidRDefault="00E168A3" w:rsidP="00E168A3">
      <w:pPr>
        <w:shd w:val="clear" w:color="auto" w:fill="FFFFFF"/>
        <w:spacing w:after="100" w:afterAutospacing="1" w:line="240" w:lineRule="auto"/>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As per the SEBI </w:t>
      </w:r>
      <w:hyperlink r:id="rId7" w:tgtFrame="_blank" w:history="1">
        <w:r w:rsidRPr="00E168A3">
          <w:rPr>
            <w:rFonts w:ascii="Gilroy" w:eastAsia="Times New Roman" w:hAnsi="Gilroy" w:cs="Times New Roman"/>
            <w:color w:val="0088D3"/>
            <w:sz w:val="26"/>
            <w:szCs w:val="26"/>
            <w:u w:val="single"/>
            <w:lang w:eastAsia="en-IN"/>
          </w:rPr>
          <w:t>Circular</w:t>
        </w:r>
      </w:hyperlink>
      <w:r w:rsidRPr="00E168A3">
        <w:rPr>
          <w:rFonts w:ascii="Gilroy" w:eastAsia="Times New Roman" w:hAnsi="Gilroy" w:cs="Times New Roman"/>
          <w:color w:val="202325"/>
          <w:sz w:val="26"/>
          <w:szCs w:val="26"/>
          <w:lang w:eastAsia="en-IN"/>
        </w:rPr>
        <w:t> to make it easier for retail investors to participate in the stock market, SEBI has launched the Basic Services Demat Account (BSDA). Starting 1st September 2024, as per SEBI’s guidelines, your demat account will automatically switch to a BSDA if:</w:t>
      </w:r>
    </w:p>
    <w:p w:rsidR="00E168A3" w:rsidRPr="00E168A3" w:rsidRDefault="00E168A3" w:rsidP="00E168A3">
      <w:pPr>
        <w:shd w:val="clear" w:color="auto" w:fill="FFFFFF"/>
        <w:spacing w:after="100" w:afterAutospacing="1" w:line="240" w:lineRule="auto"/>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 </w:t>
      </w:r>
      <w:r w:rsidRPr="00E168A3">
        <w:rPr>
          <w:rFonts w:ascii="Gilroy" w:eastAsia="Times New Roman" w:hAnsi="Gilroy" w:cs="Times New Roman"/>
          <w:b/>
          <w:bCs/>
          <w:color w:val="202325"/>
          <w:sz w:val="26"/>
          <w:szCs w:val="26"/>
          <w:lang w:eastAsia="en-IN"/>
        </w:rPr>
        <w:t>- You have only one demat account linked to your PAN across all brokers.</w:t>
      </w:r>
    </w:p>
    <w:p w:rsidR="00E168A3" w:rsidRPr="00E168A3" w:rsidRDefault="00E168A3" w:rsidP="00E168A3">
      <w:pPr>
        <w:shd w:val="clear" w:color="auto" w:fill="FFFFFF"/>
        <w:spacing w:after="100" w:afterAutospacing="1" w:line="240" w:lineRule="auto"/>
        <w:rPr>
          <w:rFonts w:ascii="Gilroy" w:eastAsia="Times New Roman" w:hAnsi="Gilroy" w:cs="Times New Roman"/>
          <w:color w:val="202325"/>
          <w:sz w:val="26"/>
          <w:szCs w:val="26"/>
          <w:lang w:eastAsia="en-IN"/>
        </w:rPr>
      </w:pPr>
      <w:r w:rsidRPr="00E168A3">
        <w:rPr>
          <w:rFonts w:ascii="Gilroy" w:eastAsia="Times New Roman" w:hAnsi="Gilroy" w:cs="Times New Roman"/>
          <w:b/>
          <w:bCs/>
          <w:color w:val="202325"/>
          <w:sz w:val="26"/>
          <w:szCs w:val="26"/>
          <w:lang w:eastAsia="en-IN"/>
        </w:rPr>
        <w:t>- The total value of the holdings in your account is less than ₹10,00,000.</w:t>
      </w:r>
    </w:p>
    <w:p w:rsidR="00E168A3" w:rsidRPr="00E168A3" w:rsidRDefault="00E168A3" w:rsidP="00E168A3">
      <w:pPr>
        <w:shd w:val="clear" w:color="auto" w:fill="FFFFFF"/>
        <w:spacing w:after="100" w:afterAutospacing="1" w:line="240" w:lineRule="auto"/>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 </w:t>
      </w:r>
      <w:r w:rsidRPr="00E168A3">
        <w:rPr>
          <w:rFonts w:ascii="Gilroy" w:eastAsia="Times New Roman" w:hAnsi="Gilroy" w:cs="Times New Roman"/>
          <w:b/>
          <w:bCs/>
          <w:color w:val="202325"/>
          <w:sz w:val="26"/>
          <w:szCs w:val="26"/>
          <w:lang w:eastAsia="en-IN"/>
        </w:rPr>
        <w:t>Example-</w:t>
      </w:r>
    </w:p>
    <w:p w:rsidR="00E168A3" w:rsidRPr="00E168A3" w:rsidRDefault="00E168A3" w:rsidP="00E168A3">
      <w:pPr>
        <w:shd w:val="clear" w:color="auto" w:fill="FFFFFF"/>
        <w:spacing w:after="100" w:afterAutospacing="1" w:line="240" w:lineRule="auto"/>
        <w:rPr>
          <w:rFonts w:ascii="Gilroy" w:eastAsia="Times New Roman" w:hAnsi="Gilroy" w:cs="Times New Roman"/>
          <w:color w:val="202325"/>
          <w:sz w:val="26"/>
          <w:szCs w:val="26"/>
          <w:lang w:eastAsia="en-IN"/>
        </w:rPr>
      </w:pPr>
      <w:r w:rsidRPr="00E168A3">
        <w:rPr>
          <w:rFonts w:ascii="Gilroy" w:eastAsia="Times New Roman" w:hAnsi="Gilroy" w:cs="Times New Roman"/>
          <w:b/>
          <w:bCs/>
          <w:color w:val="202325"/>
          <w:sz w:val="26"/>
          <w:szCs w:val="26"/>
          <w:lang w:eastAsia="en-IN"/>
        </w:rPr>
        <w:t>1</w:t>
      </w:r>
      <w:r w:rsidRPr="00E168A3">
        <w:rPr>
          <w:rFonts w:ascii="Gilroy" w:eastAsia="Times New Roman" w:hAnsi="Gilroy" w:cs="Times New Roman"/>
          <w:color w:val="202325"/>
          <w:sz w:val="26"/>
          <w:szCs w:val="26"/>
          <w:lang w:eastAsia="en-IN"/>
        </w:rPr>
        <w:t>. If the Client portfolio is up to Rs 4 lakh, no annual maintenance charge is required. For portfolios between Rs 4 lakh and Rs 10 lakh, a Rs 100 charge applies. Portfolios exceeding Rs 10 lakh will be converted to regular Demat accounts. These new rules aim to make investing in the Indian market more accessible and cost-effective.</w:t>
      </w:r>
    </w:p>
    <w:p w:rsidR="00E168A3" w:rsidRPr="00E168A3" w:rsidRDefault="00E168A3" w:rsidP="00E168A3">
      <w:pPr>
        <w:shd w:val="clear" w:color="auto" w:fill="FFFFFF"/>
        <w:spacing w:after="100" w:afterAutospacing="1" w:line="240" w:lineRule="auto"/>
        <w:rPr>
          <w:rFonts w:ascii="Gilroy" w:eastAsia="Times New Roman" w:hAnsi="Gilroy" w:cs="Times New Roman"/>
          <w:color w:val="202325"/>
          <w:sz w:val="26"/>
          <w:szCs w:val="26"/>
          <w:lang w:eastAsia="en-IN"/>
        </w:rPr>
      </w:pPr>
      <w:r w:rsidRPr="00E168A3">
        <w:rPr>
          <w:rFonts w:ascii="Gilroy" w:eastAsia="Times New Roman" w:hAnsi="Gilroy" w:cs="Times New Roman"/>
          <w:b/>
          <w:bCs/>
          <w:color w:val="202325"/>
          <w:sz w:val="26"/>
          <w:szCs w:val="26"/>
          <w:lang w:eastAsia="en-IN"/>
        </w:rPr>
        <w:t>2</w:t>
      </w:r>
      <w:r w:rsidRPr="00E168A3">
        <w:rPr>
          <w:rFonts w:ascii="Gilroy" w:eastAsia="Times New Roman" w:hAnsi="Gilroy" w:cs="Times New Roman"/>
          <w:color w:val="202325"/>
          <w:sz w:val="26"/>
          <w:szCs w:val="26"/>
          <w:lang w:eastAsia="en-IN"/>
        </w:rPr>
        <w:t>. If the Client has a BSDA account then there will be no charges applicable on electronic statements. In case the Client opts for physical statements, a charge of Rs 25 per statement will be applicable.</w:t>
      </w:r>
    </w:p>
    <w:p w:rsidR="00E168A3" w:rsidRPr="00E168A3" w:rsidRDefault="00E168A3" w:rsidP="00E168A3">
      <w:pPr>
        <w:shd w:val="clear" w:color="auto" w:fill="FFFFFF"/>
        <w:spacing w:after="100" w:afterAutospacing="1" w:line="240" w:lineRule="auto"/>
        <w:rPr>
          <w:rFonts w:ascii="Gilroy" w:eastAsia="Times New Roman" w:hAnsi="Gilroy" w:cs="Times New Roman"/>
          <w:color w:val="202325"/>
          <w:sz w:val="26"/>
          <w:szCs w:val="26"/>
          <w:lang w:eastAsia="en-IN"/>
        </w:rPr>
      </w:pPr>
      <w:r w:rsidRPr="00E168A3">
        <w:rPr>
          <w:rFonts w:ascii="Gilroy" w:eastAsia="Times New Roman" w:hAnsi="Gilroy" w:cs="Times New Roman"/>
          <w:b/>
          <w:bCs/>
          <w:color w:val="202325"/>
          <w:sz w:val="26"/>
          <w:szCs w:val="26"/>
          <w:lang w:eastAsia="en-IN"/>
        </w:rPr>
        <w:t>3. A</w:t>
      </w:r>
      <w:r w:rsidRPr="00E168A3">
        <w:rPr>
          <w:rFonts w:ascii="Gilroy" w:eastAsia="Times New Roman" w:hAnsi="Gilroy" w:cs="Times New Roman"/>
          <w:color w:val="202325"/>
          <w:sz w:val="26"/>
          <w:szCs w:val="26"/>
          <w:lang w:eastAsia="en-IN"/>
        </w:rPr>
        <w:t>. Automatic Conversion: Depository Participants (DPs) will automatically convert eligible Demat accounts to Basic Service Demat Accounts (BSDAs) starting September 1, 2024.</w:t>
      </w:r>
    </w:p>
    <w:p w:rsidR="00E168A3" w:rsidRPr="00E168A3" w:rsidRDefault="00E168A3" w:rsidP="00E168A3">
      <w:pPr>
        <w:shd w:val="clear" w:color="auto" w:fill="FFFFFF"/>
        <w:spacing w:after="100" w:afterAutospacing="1" w:line="240" w:lineRule="auto"/>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    </w:t>
      </w:r>
      <w:r w:rsidRPr="00E168A3">
        <w:rPr>
          <w:rFonts w:ascii="Gilroy" w:eastAsia="Times New Roman" w:hAnsi="Gilroy" w:cs="Times New Roman"/>
          <w:b/>
          <w:bCs/>
          <w:color w:val="202325"/>
          <w:sz w:val="26"/>
          <w:szCs w:val="26"/>
          <w:lang w:eastAsia="en-IN"/>
        </w:rPr>
        <w:t>B.</w:t>
      </w:r>
      <w:r w:rsidRPr="00E168A3">
        <w:rPr>
          <w:rFonts w:ascii="Gilroy" w:eastAsia="Times New Roman" w:hAnsi="Gilroy" w:cs="Times New Roman"/>
          <w:color w:val="202325"/>
          <w:sz w:val="26"/>
          <w:szCs w:val="26"/>
          <w:lang w:eastAsia="en-IN"/>
        </w:rPr>
        <w:t> Opt-Out Option: Client can choose to retain their regular Demat account by notifying their DP via email.</w:t>
      </w:r>
    </w:p>
    <w:p w:rsidR="00E168A3" w:rsidRPr="00E168A3" w:rsidRDefault="00E168A3" w:rsidP="00E168A3">
      <w:pPr>
        <w:shd w:val="clear" w:color="auto" w:fill="FFFFFF"/>
        <w:spacing w:after="100" w:afterAutospacing="1" w:line="240" w:lineRule="auto"/>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    </w:t>
      </w:r>
      <w:r w:rsidRPr="00E168A3">
        <w:rPr>
          <w:rFonts w:ascii="Gilroy" w:eastAsia="Times New Roman" w:hAnsi="Gilroy" w:cs="Times New Roman"/>
          <w:b/>
          <w:bCs/>
          <w:color w:val="202325"/>
          <w:sz w:val="26"/>
          <w:szCs w:val="26"/>
          <w:lang w:eastAsia="en-IN"/>
        </w:rPr>
        <w:t>C.</w:t>
      </w:r>
      <w:r w:rsidRPr="00E168A3">
        <w:rPr>
          <w:rFonts w:ascii="Gilroy" w:eastAsia="Times New Roman" w:hAnsi="Gilroy" w:cs="Times New Roman"/>
          <w:color w:val="202325"/>
          <w:sz w:val="26"/>
          <w:szCs w:val="26"/>
          <w:lang w:eastAsia="en-IN"/>
        </w:rPr>
        <w:t> BSDA Benefits: These accounts offer lower maintenance charges, making them suitable for small investors.</w:t>
      </w:r>
    </w:p>
    <w:p w:rsidR="00E168A3" w:rsidRPr="00E168A3" w:rsidRDefault="00E168A3" w:rsidP="00E168A3">
      <w:pPr>
        <w:shd w:val="clear" w:color="auto" w:fill="FFFFFF"/>
        <w:spacing w:after="100" w:afterAutospacing="1" w:line="240" w:lineRule="auto"/>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    </w:t>
      </w:r>
      <w:r w:rsidRPr="00E168A3">
        <w:rPr>
          <w:rFonts w:ascii="Gilroy" w:eastAsia="Times New Roman" w:hAnsi="Gilroy" w:cs="Times New Roman"/>
          <w:b/>
          <w:bCs/>
          <w:color w:val="202325"/>
          <w:sz w:val="26"/>
          <w:szCs w:val="26"/>
          <w:lang w:eastAsia="en-IN"/>
        </w:rPr>
        <w:t>D.</w:t>
      </w:r>
      <w:r w:rsidRPr="00E168A3">
        <w:rPr>
          <w:rFonts w:ascii="Gilroy" w:eastAsia="Times New Roman" w:hAnsi="Gilroy" w:cs="Times New Roman"/>
          <w:color w:val="202325"/>
          <w:sz w:val="26"/>
          <w:szCs w:val="26"/>
          <w:lang w:eastAsia="en-IN"/>
        </w:rPr>
        <w:t> If only 1 demat is registered with that PAN across brokers.</w:t>
      </w:r>
    </w:p>
    <w:p w:rsidR="00E168A3" w:rsidRPr="00E168A3" w:rsidRDefault="00E168A3" w:rsidP="00E168A3">
      <w:pPr>
        <w:shd w:val="clear" w:color="auto" w:fill="FFFFFF"/>
        <w:spacing w:after="100" w:afterAutospacing="1" w:line="240" w:lineRule="auto"/>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 </w:t>
      </w:r>
      <w:r w:rsidRPr="00E168A3">
        <w:rPr>
          <w:rFonts w:ascii="Gilroy" w:eastAsia="Times New Roman" w:hAnsi="Gilroy" w:cs="Times New Roman"/>
          <w:b/>
          <w:bCs/>
          <w:color w:val="202325"/>
          <w:sz w:val="26"/>
          <w:szCs w:val="26"/>
          <w:lang w:eastAsia="en-IN"/>
        </w:rPr>
        <w:t>The AMC for BSDA is determined by the value of your holdings. The table below outlines the maximum holding values under both the old and new BSDA guidelines for comparison:</w:t>
      </w:r>
    </w:p>
    <w:tbl>
      <w:tblPr>
        <w:tblW w:w="91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5"/>
        <w:gridCol w:w="2695"/>
        <w:gridCol w:w="2574"/>
        <w:gridCol w:w="3151"/>
      </w:tblGrid>
      <w:tr w:rsidR="00E168A3" w:rsidRPr="00E168A3" w:rsidTr="00E168A3">
        <w:trPr>
          <w:trHeight w:val="345"/>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68A3" w:rsidRPr="00E168A3" w:rsidRDefault="00E168A3" w:rsidP="00E168A3">
            <w:pPr>
              <w:spacing w:after="0" w:line="240" w:lineRule="auto"/>
              <w:jc w:val="center"/>
              <w:rPr>
                <w:rFonts w:ascii="Gilroy" w:eastAsia="Times New Roman" w:hAnsi="Gilroy" w:cs="Times New Roman"/>
                <w:color w:val="202325"/>
                <w:sz w:val="26"/>
                <w:szCs w:val="26"/>
                <w:lang w:eastAsia="en-IN"/>
              </w:rPr>
            </w:pPr>
            <w:r w:rsidRPr="00E168A3">
              <w:rPr>
                <w:rFonts w:ascii="Gilroy" w:eastAsia="Times New Roman" w:hAnsi="Gilroy" w:cs="Times New Roman"/>
                <w:b/>
                <w:bCs/>
                <w:color w:val="202325"/>
                <w:sz w:val="26"/>
                <w:szCs w:val="26"/>
                <w:lang w:eastAsia="en-IN"/>
              </w:rPr>
              <w:t>SLAB</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68A3" w:rsidRPr="00E168A3" w:rsidRDefault="00E168A3" w:rsidP="00E168A3">
            <w:pPr>
              <w:spacing w:after="0" w:line="240" w:lineRule="auto"/>
              <w:jc w:val="center"/>
              <w:rPr>
                <w:rFonts w:ascii="Gilroy" w:eastAsia="Times New Roman" w:hAnsi="Gilroy" w:cs="Times New Roman"/>
                <w:color w:val="202325"/>
                <w:sz w:val="26"/>
                <w:szCs w:val="26"/>
                <w:lang w:eastAsia="en-IN"/>
              </w:rPr>
            </w:pPr>
            <w:r w:rsidRPr="00E168A3">
              <w:rPr>
                <w:rFonts w:ascii="Gilroy" w:eastAsia="Times New Roman" w:hAnsi="Gilroy" w:cs="Times New Roman"/>
                <w:b/>
                <w:bCs/>
                <w:color w:val="202325"/>
                <w:sz w:val="26"/>
                <w:szCs w:val="26"/>
                <w:lang w:eastAsia="en-IN"/>
              </w:rPr>
              <w:t>Before 1st September 2024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68A3" w:rsidRPr="00E168A3" w:rsidRDefault="00E168A3" w:rsidP="00E168A3">
            <w:pPr>
              <w:spacing w:after="0" w:line="240" w:lineRule="auto"/>
              <w:jc w:val="center"/>
              <w:rPr>
                <w:rFonts w:ascii="Gilroy" w:eastAsia="Times New Roman" w:hAnsi="Gilroy" w:cs="Times New Roman"/>
                <w:color w:val="202325"/>
                <w:sz w:val="26"/>
                <w:szCs w:val="26"/>
                <w:lang w:eastAsia="en-IN"/>
              </w:rPr>
            </w:pPr>
            <w:r w:rsidRPr="00E168A3">
              <w:rPr>
                <w:rFonts w:ascii="Gilroy" w:eastAsia="Times New Roman" w:hAnsi="Gilroy" w:cs="Times New Roman"/>
                <w:b/>
                <w:bCs/>
                <w:color w:val="202325"/>
                <w:sz w:val="26"/>
                <w:szCs w:val="26"/>
                <w:lang w:eastAsia="en-IN"/>
              </w:rPr>
              <w:t>After 1st September 2024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68A3" w:rsidRPr="00E168A3" w:rsidRDefault="00E168A3" w:rsidP="00E168A3">
            <w:pPr>
              <w:spacing w:after="0" w:line="240" w:lineRule="auto"/>
              <w:jc w:val="center"/>
              <w:rPr>
                <w:rFonts w:ascii="Gilroy" w:eastAsia="Times New Roman" w:hAnsi="Gilroy" w:cs="Times New Roman"/>
                <w:color w:val="202325"/>
                <w:sz w:val="26"/>
                <w:szCs w:val="26"/>
                <w:lang w:eastAsia="en-IN"/>
              </w:rPr>
            </w:pPr>
            <w:r w:rsidRPr="00E168A3">
              <w:rPr>
                <w:rFonts w:ascii="Gilroy" w:eastAsia="Times New Roman" w:hAnsi="Gilroy" w:cs="Times New Roman"/>
                <w:b/>
                <w:bCs/>
                <w:color w:val="202325"/>
                <w:sz w:val="26"/>
                <w:szCs w:val="26"/>
                <w:lang w:eastAsia="en-IN"/>
              </w:rPr>
              <w:t>AMC</w:t>
            </w:r>
          </w:p>
        </w:tc>
      </w:tr>
      <w:tr w:rsidR="00E168A3" w:rsidRPr="00E168A3" w:rsidTr="00E168A3">
        <w:trPr>
          <w:trHeight w:val="180"/>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68A3" w:rsidRPr="00E168A3" w:rsidRDefault="00E168A3" w:rsidP="00E168A3">
            <w:pPr>
              <w:spacing w:after="0" w:line="240" w:lineRule="auto"/>
              <w:jc w:val="center"/>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68A3" w:rsidRPr="00E168A3" w:rsidRDefault="00E168A3" w:rsidP="00E168A3">
            <w:pPr>
              <w:spacing w:after="0" w:line="240" w:lineRule="auto"/>
              <w:jc w:val="center"/>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Up to ₹50,000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68A3" w:rsidRPr="00E168A3" w:rsidRDefault="00E168A3" w:rsidP="00E168A3">
            <w:pPr>
              <w:spacing w:after="0" w:line="240" w:lineRule="auto"/>
              <w:jc w:val="center"/>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Up to ₹4,00,000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68A3" w:rsidRPr="00E168A3" w:rsidRDefault="00E168A3" w:rsidP="00E168A3">
            <w:pPr>
              <w:spacing w:after="0" w:line="240" w:lineRule="auto"/>
              <w:jc w:val="center"/>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 0</w:t>
            </w:r>
          </w:p>
        </w:tc>
      </w:tr>
      <w:tr w:rsidR="00E168A3" w:rsidRPr="00E168A3" w:rsidTr="00E168A3">
        <w:trPr>
          <w:trHeight w:val="345"/>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68A3" w:rsidRPr="00E168A3" w:rsidRDefault="00E168A3" w:rsidP="00E168A3">
            <w:pPr>
              <w:spacing w:after="0" w:line="240" w:lineRule="auto"/>
              <w:jc w:val="center"/>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68A3" w:rsidRPr="00E168A3" w:rsidRDefault="00E168A3" w:rsidP="00E168A3">
            <w:pPr>
              <w:spacing w:after="0" w:line="240" w:lineRule="auto"/>
              <w:jc w:val="center"/>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₹50,001 to ₹2,00,000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68A3" w:rsidRPr="00E168A3" w:rsidRDefault="00E168A3" w:rsidP="00E168A3">
            <w:pPr>
              <w:spacing w:after="0" w:line="240" w:lineRule="auto"/>
              <w:jc w:val="center"/>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₹4,00,000 to ₹10,00,000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68A3" w:rsidRPr="00E168A3" w:rsidRDefault="00E168A3" w:rsidP="00E168A3">
            <w:pPr>
              <w:spacing w:after="0" w:line="240" w:lineRule="auto"/>
              <w:jc w:val="center"/>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₹100 + 18% GST</w:t>
            </w:r>
          </w:p>
        </w:tc>
      </w:tr>
      <w:tr w:rsidR="00E168A3" w:rsidRPr="00E168A3" w:rsidTr="00E168A3">
        <w:trPr>
          <w:trHeight w:val="825"/>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68A3" w:rsidRPr="00E168A3" w:rsidRDefault="00E168A3" w:rsidP="00E168A3">
            <w:pPr>
              <w:spacing w:after="0" w:line="240" w:lineRule="auto"/>
              <w:jc w:val="center"/>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68A3" w:rsidRPr="00E168A3" w:rsidRDefault="00E168A3" w:rsidP="00E168A3">
            <w:pPr>
              <w:spacing w:after="0" w:line="240" w:lineRule="auto"/>
              <w:jc w:val="center"/>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Above ₹2,00,000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68A3" w:rsidRPr="00E168A3" w:rsidRDefault="00E168A3" w:rsidP="00E168A3">
            <w:pPr>
              <w:spacing w:after="0" w:line="240" w:lineRule="auto"/>
              <w:jc w:val="center"/>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Above ₹10,00,000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68A3" w:rsidRPr="00E168A3" w:rsidRDefault="00E168A3" w:rsidP="00E168A3">
            <w:pPr>
              <w:spacing w:after="0" w:line="240" w:lineRule="auto"/>
              <w:jc w:val="center"/>
              <w:rPr>
                <w:rFonts w:ascii="Gilroy" w:eastAsia="Times New Roman" w:hAnsi="Gilroy" w:cs="Times New Roman"/>
                <w:color w:val="202325"/>
                <w:sz w:val="26"/>
                <w:szCs w:val="26"/>
                <w:lang w:eastAsia="en-IN"/>
              </w:rPr>
            </w:pPr>
            <w:r>
              <w:rPr>
                <w:rFonts w:ascii="Gilroy" w:eastAsia="Times New Roman" w:hAnsi="Gilroy" w:cs="Times New Roman"/>
                <w:color w:val="202325"/>
                <w:sz w:val="26"/>
                <w:szCs w:val="26"/>
                <w:lang w:eastAsia="en-IN"/>
              </w:rPr>
              <w:t>Normal AMC (₹ 250</w:t>
            </w:r>
            <w:r w:rsidRPr="00E168A3">
              <w:rPr>
                <w:rFonts w:ascii="Gilroy" w:eastAsia="Times New Roman" w:hAnsi="Gilroy" w:cs="Times New Roman"/>
                <w:color w:val="202325"/>
                <w:sz w:val="26"/>
                <w:szCs w:val="26"/>
                <w:lang w:eastAsia="en-IN"/>
              </w:rPr>
              <w:t xml:space="preserve"> + 18% GST)</w:t>
            </w:r>
          </w:p>
        </w:tc>
      </w:tr>
    </w:tbl>
    <w:p w:rsidR="00E168A3" w:rsidRPr="00E168A3" w:rsidRDefault="00E168A3" w:rsidP="00E168A3">
      <w:pPr>
        <w:shd w:val="clear" w:color="auto" w:fill="FFFFFF"/>
        <w:spacing w:after="0" w:line="240" w:lineRule="auto"/>
        <w:rPr>
          <w:rFonts w:ascii="Gilroy" w:eastAsia="Times New Roman" w:hAnsi="Gilroy" w:cs="Times New Roman"/>
          <w:color w:val="202325"/>
          <w:sz w:val="26"/>
          <w:szCs w:val="26"/>
          <w:lang w:eastAsia="en-IN"/>
        </w:rPr>
      </w:pPr>
      <w:r w:rsidRPr="00E168A3">
        <w:rPr>
          <w:rFonts w:ascii="Gilroy" w:eastAsia="Times New Roman" w:hAnsi="Gilroy" w:cs="Times New Roman"/>
          <w:color w:val="202325"/>
          <w:sz w:val="26"/>
          <w:szCs w:val="26"/>
          <w:lang w:eastAsia="en-IN"/>
        </w:rPr>
        <w:t> </w:t>
      </w:r>
    </w:p>
    <w:p w:rsidR="00C646FA" w:rsidRDefault="00C646FA" w:rsidP="00C433AD">
      <w:pPr>
        <w:jc w:val="center"/>
        <w:rPr>
          <w:lang w:val="en-US"/>
        </w:rPr>
      </w:pPr>
      <w:bookmarkStart w:id="0" w:name="_GoBack"/>
      <w:bookmarkEnd w:id="0"/>
    </w:p>
    <w:p w:rsidR="00C646FA" w:rsidRDefault="00C646FA"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Default="00576F06" w:rsidP="00C433AD">
      <w:pPr>
        <w:jc w:val="center"/>
        <w:rPr>
          <w:lang w:val="en-US"/>
        </w:rPr>
      </w:pPr>
    </w:p>
    <w:p w:rsidR="00576F06" w:rsidRPr="00C433AD" w:rsidRDefault="00576F06" w:rsidP="00C433AD">
      <w:pPr>
        <w:jc w:val="center"/>
        <w:rPr>
          <w:lang w:val="en-US"/>
        </w:rPr>
      </w:pPr>
    </w:p>
    <w:sectPr w:rsidR="00576F06" w:rsidRPr="00C433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E12" w:rsidRDefault="00853E12" w:rsidP="00C433AD">
      <w:pPr>
        <w:spacing w:after="0" w:line="240" w:lineRule="auto"/>
      </w:pPr>
      <w:r>
        <w:separator/>
      </w:r>
    </w:p>
  </w:endnote>
  <w:endnote w:type="continuationSeparator" w:id="0">
    <w:p w:rsidR="00853E12" w:rsidRDefault="00853E12" w:rsidP="00C4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E12" w:rsidRDefault="00853E12" w:rsidP="00C433AD">
      <w:pPr>
        <w:spacing w:after="0" w:line="240" w:lineRule="auto"/>
      </w:pPr>
      <w:r>
        <w:separator/>
      </w:r>
    </w:p>
  </w:footnote>
  <w:footnote w:type="continuationSeparator" w:id="0">
    <w:p w:rsidR="00853E12" w:rsidRDefault="00853E12" w:rsidP="00C43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21016"/>
    <w:multiLevelType w:val="multilevel"/>
    <w:tmpl w:val="7D14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27"/>
    <w:rsid w:val="000F3F97"/>
    <w:rsid w:val="00221325"/>
    <w:rsid w:val="002C6450"/>
    <w:rsid w:val="004963CF"/>
    <w:rsid w:val="004B0520"/>
    <w:rsid w:val="00576F06"/>
    <w:rsid w:val="005B1B0E"/>
    <w:rsid w:val="00722D53"/>
    <w:rsid w:val="00851127"/>
    <w:rsid w:val="00853E12"/>
    <w:rsid w:val="00A91D39"/>
    <w:rsid w:val="00B44085"/>
    <w:rsid w:val="00BE21F4"/>
    <w:rsid w:val="00C433AD"/>
    <w:rsid w:val="00C646FA"/>
    <w:rsid w:val="00D16FAF"/>
    <w:rsid w:val="00E168A3"/>
    <w:rsid w:val="00F12CD2"/>
    <w:rsid w:val="00FB7A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A886"/>
  <w15:docId w15:val="{6C26B559-9D76-422A-9F8F-5EAD8ADF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168A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3AD"/>
  </w:style>
  <w:style w:type="paragraph" w:styleId="Footer">
    <w:name w:val="footer"/>
    <w:basedOn w:val="Normal"/>
    <w:link w:val="FooterChar"/>
    <w:uiPriority w:val="99"/>
    <w:unhideWhenUsed/>
    <w:rsid w:val="00C43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3AD"/>
  </w:style>
  <w:style w:type="paragraph" w:styleId="BalloonText">
    <w:name w:val="Balloon Text"/>
    <w:basedOn w:val="Normal"/>
    <w:link w:val="BalloonTextChar"/>
    <w:uiPriority w:val="99"/>
    <w:semiHidden/>
    <w:unhideWhenUsed/>
    <w:rsid w:val="005B1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B0E"/>
    <w:rPr>
      <w:rFonts w:ascii="Tahoma" w:hAnsi="Tahoma" w:cs="Tahoma"/>
      <w:sz w:val="16"/>
      <w:szCs w:val="16"/>
    </w:rPr>
  </w:style>
  <w:style w:type="character" w:customStyle="1" w:styleId="Heading2Char">
    <w:name w:val="Heading 2 Char"/>
    <w:basedOn w:val="DefaultParagraphFont"/>
    <w:link w:val="Heading2"/>
    <w:uiPriority w:val="9"/>
    <w:rsid w:val="00E168A3"/>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E168A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168A3"/>
    <w:rPr>
      <w:color w:val="0000FF"/>
      <w:u w:val="single"/>
    </w:rPr>
  </w:style>
  <w:style w:type="character" w:styleId="Strong">
    <w:name w:val="Strong"/>
    <w:basedOn w:val="DefaultParagraphFont"/>
    <w:uiPriority w:val="22"/>
    <w:qFormat/>
    <w:rsid w:val="00E16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070824">
      <w:bodyDiv w:val="1"/>
      <w:marLeft w:val="0"/>
      <w:marRight w:val="0"/>
      <w:marTop w:val="0"/>
      <w:marBottom w:val="0"/>
      <w:divBdr>
        <w:top w:val="none" w:sz="0" w:space="0" w:color="auto"/>
        <w:left w:val="none" w:sz="0" w:space="0" w:color="auto"/>
        <w:bottom w:val="none" w:sz="0" w:space="0" w:color="auto"/>
        <w:right w:val="none" w:sz="0" w:space="0" w:color="auto"/>
      </w:divBdr>
    </w:div>
    <w:div w:id="1870412502">
      <w:bodyDiv w:val="1"/>
      <w:marLeft w:val="0"/>
      <w:marRight w:val="0"/>
      <w:marTop w:val="0"/>
      <w:marBottom w:val="0"/>
      <w:divBdr>
        <w:top w:val="none" w:sz="0" w:space="0" w:color="auto"/>
        <w:left w:val="none" w:sz="0" w:space="0" w:color="auto"/>
        <w:bottom w:val="none" w:sz="0" w:space="0" w:color="auto"/>
        <w:right w:val="none" w:sz="0" w:space="0" w:color="auto"/>
      </w:divBdr>
      <w:divsChild>
        <w:div w:id="779104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bi.gov.in/legal/circulars/jun-2024/facility-for-basic-services-demat-account-bsda-for-financial-inclusion-and-ease-of-investing_8447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PESB</cp:lastModifiedBy>
  <cp:revision>3</cp:revision>
  <cp:lastPrinted>2024-06-13T03:50:00Z</cp:lastPrinted>
  <dcterms:created xsi:type="dcterms:W3CDTF">2024-12-04T05:57:00Z</dcterms:created>
  <dcterms:modified xsi:type="dcterms:W3CDTF">2024-12-04T05:58:00Z</dcterms:modified>
</cp:coreProperties>
</file>